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Default="00B432D2">
      <w:pPr>
        <w:pStyle w:val="Standard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lang w:val="en-US" w:eastAsia="it-IT"/>
        </w:rPr>
        <w:t xml:space="preserve">Social-environmental indigenous movements and their influence on institutional policy: the case of the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Frente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Mujeres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Mazahua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en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Defensa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del Agua, Mexico</w:t>
      </w:r>
      <w:r>
        <w:rPr>
          <w:rFonts w:ascii="Times New Roman" w:eastAsia="Times New Roman" w:hAnsi="Times New Roman" w:cs="Times New Roman"/>
          <w:lang w:val="en-US" w:eastAsia="it-IT"/>
        </w:rPr>
        <w:t>.</w:t>
      </w:r>
    </w:p>
    <w:p w:rsidR="00373DC1" w:rsidRDefault="00373DC1">
      <w:pPr>
        <w:pStyle w:val="Standard"/>
        <w:jc w:val="both"/>
      </w:pPr>
    </w:p>
    <w:p w:rsidR="00373DC1" w:rsidRDefault="00B432D2">
      <w:pPr>
        <w:pStyle w:val="Standard"/>
        <w:jc w:val="both"/>
      </w:pPr>
      <w:r>
        <w:rPr>
          <w:rFonts w:ascii="Times New Roman" w:eastAsia="Times New Roman" w:hAnsi="Times New Roman" w:cs="Times New Roman"/>
          <w:lang w:val="en-US" w:eastAsia="it-IT"/>
        </w:rPr>
        <w:t xml:space="preserve">Francesca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Zunino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lang w:val="en-US" w:eastAsia="it-IT"/>
        </w:rPr>
        <w:t>(Department of Linguistic and Cultural Studies, University of Modena and Reggio Emilia, Italy; SPLAS-Department of Spanish, Portuguese and Latin American Studies, King’s College London, UK)</w:t>
      </w:r>
    </w:p>
    <w:p w:rsidR="00373DC1" w:rsidRDefault="00B432D2">
      <w:pPr>
        <w:pStyle w:val="Standard"/>
        <w:jc w:val="right"/>
      </w:pPr>
      <w:r>
        <w:rPr>
          <w:rFonts w:ascii="Times New Roman" w:eastAsia="Times New Roman" w:hAnsi="Times New Roman" w:cs="Times New Roman"/>
          <w:lang w:val="en-US" w:eastAsia="it-IT"/>
        </w:rPr>
        <w:t>francesca.zunino@kcl.ac.uk</w:t>
      </w:r>
    </w:p>
    <w:p w:rsidR="00373DC1" w:rsidRDefault="00B432D2">
      <w:pPr>
        <w:pStyle w:val="Standard"/>
        <w:jc w:val="right"/>
      </w:pPr>
      <w:r>
        <w:rPr>
          <w:rFonts w:ascii="Times New Roman" w:hAnsi="Times New Roman" w:cs="Times New Roman"/>
          <w:lang w:val="en-US"/>
        </w:rPr>
        <w:t xml:space="preserve">    </w:t>
      </w:r>
    </w:p>
    <w:p w:rsidR="00373DC1" w:rsidRDefault="00373DC1">
      <w:pPr>
        <w:pStyle w:val="Standard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en-US" w:eastAsia="it-IT"/>
        </w:rPr>
      </w:pPr>
    </w:p>
    <w:p w:rsidR="00373DC1" w:rsidRDefault="00B432D2">
      <w:pPr>
        <w:pStyle w:val="Standard"/>
        <w:jc w:val="both"/>
      </w:pPr>
      <w:r>
        <w:rPr>
          <w:rFonts w:ascii="Times New Roman" w:eastAsia="Times New Roman" w:hAnsi="Times New Roman" w:cs="Times New Roman"/>
          <w:lang w:val="en-US" w:eastAsia="it-IT"/>
        </w:rPr>
        <w:t>This research presents a prelimin</w:t>
      </w:r>
      <w:r>
        <w:rPr>
          <w:rFonts w:ascii="Times New Roman" w:eastAsia="Times New Roman" w:hAnsi="Times New Roman" w:cs="Times New Roman"/>
          <w:lang w:val="en-US" w:eastAsia="it-IT"/>
        </w:rPr>
        <w:t xml:space="preserve">ary analysis of a case study that integrates ecological analysis, social-environmental politics and indigenous and gender issues in Mexico, thus requiring the interconnection of several disciplines both theoretically and methodologically. In 2003, severe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f</w:t>
      </w:r>
      <w:r>
        <w:rPr>
          <w:rFonts w:ascii="Times New Roman" w:eastAsia="Times New Roman" w:hAnsi="Times New Roman" w:cs="Times New Roman"/>
          <w:lang w:val="en-US" w:eastAsia="it-IT"/>
        </w:rPr>
        <w:t>loodings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caused by the overflowing of a river in the municipality of Villa de Allende in the federal State of Mexico resulted in a total crop loss for the people living in the area,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indigenous community. This was due to the tremendously challe</w:t>
      </w:r>
      <w:r>
        <w:rPr>
          <w:rFonts w:ascii="Times New Roman" w:eastAsia="Times New Roman" w:hAnsi="Times New Roman" w:cs="Times New Roman"/>
          <w:lang w:val="en-US" w:eastAsia="it-IT"/>
        </w:rPr>
        <w:t xml:space="preserve">nging and often disputed management of one of the two great state-controlled water systems bringing water to the Great Mexico City metropolitan area. Immediately after this event,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Mazahuas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engaged in a legal action and civil rights protest to win compe</w:t>
      </w:r>
      <w:r>
        <w:rPr>
          <w:rFonts w:ascii="Times New Roman" w:eastAsia="Times New Roman" w:hAnsi="Times New Roman" w:cs="Times New Roman"/>
          <w:lang w:val="en-US" w:eastAsia="it-IT"/>
        </w:rPr>
        <w:t xml:space="preserve">nsation for their loss. The negotiations quickly progressed to involve </w:t>
      </w:r>
      <w:proofErr w:type="gramStart"/>
      <w:r>
        <w:rPr>
          <w:rFonts w:ascii="Times New Roman" w:eastAsia="Times New Roman" w:hAnsi="Times New Roman" w:cs="Times New Roman"/>
          <w:lang w:val="en-US" w:eastAsia="it-IT"/>
        </w:rPr>
        <w:t>a visible</w:t>
      </w:r>
      <w:proofErr w:type="gramEnd"/>
      <w:r>
        <w:rPr>
          <w:rFonts w:ascii="Times New Roman" w:eastAsia="Times New Roman" w:hAnsi="Times New Roman" w:cs="Times New Roman"/>
          <w:lang w:val="en-US" w:eastAsia="it-IT"/>
        </w:rPr>
        <w:t>, active, empowered indigenous women participation - with a strategic, powerful, symbolic display of traditional colorful dresses, agricultural tools, a peaceful but military-s</w:t>
      </w:r>
      <w:r>
        <w:rPr>
          <w:rFonts w:ascii="Times New Roman" w:eastAsia="Times New Roman" w:hAnsi="Times New Roman" w:cs="Times New Roman"/>
          <w:lang w:val="en-US" w:eastAsia="it-IT"/>
        </w:rPr>
        <w:t xml:space="preserve">tyled organization that also concentrates on the metaphorical role of women as mothers. Dynamically and innovatively unifying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pratical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and strategic gender interests (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Molyneaux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2001: 19) with broader cultural, human and environmental rights,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Frente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Mujeres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val="en-US" w:eastAsia="it-IT"/>
        </w:rPr>
        <w:t>en</w:t>
      </w:r>
      <w:proofErr w:type="spellEnd"/>
      <w:proofErr w:type="gram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Defensa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del Agua promptly lead to the encompassing of wider social-environmental rights' requests, such as the right to clean water access and to a more general, far-reaching, inclusive sustainable development, health and conservation pl</w:t>
      </w:r>
      <w:r>
        <w:rPr>
          <w:rFonts w:ascii="Times New Roman" w:eastAsia="Times New Roman" w:hAnsi="Times New Roman" w:cs="Times New Roman"/>
          <w:lang w:val="en-US" w:eastAsia="it-IT"/>
        </w:rPr>
        <w:t xml:space="preserve">an for the area.  </w:t>
      </w:r>
    </w:p>
    <w:p w:rsidR="00373DC1" w:rsidRDefault="00B432D2">
      <w:pPr>
        <w:pStyle w:val="Standard"/>
        <w:jc w:val="both"/>
      </w:pPr>
      <w:r>
        <w:rPr>
          <w:rFonts w:ascii="Times New Roman" w:eastAsia="Times New Roman" w:hAnsi="Times New Roman" w:cs="Times New Roman"/>
          <w:lang w:val="en-US" w:eastAsia="it-IT"/>
        </w:rPr>
        <w:t xml:space="preserve">   The path of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Movement for Water and its ongoing outcomes are a clear example of how unified disputes over social and environmental politics and governance are gaining prominence in Latin America, a sub-continent where pres</w:t>
      </w:r>
      <w:r>
        <w:rPr>
          <w:rFonts w:ascii="Times New Roman" w:eastAsia="Times New Roman" w:hAnsi="Times New Roman" w:cs="Times New Roman"/>
          <w:lang w:val="en-US" w:eastAsia="it-IT"/>
        </w:rPr>
        <w:t xml:space="preserve">ent and future global implications for sustainable development are being shaped creatively in spite of and sometimes also thanks to historical disputes and tradition. In fact, as far as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case is concerned, traditional concepts on identity and r</w:t>
      </w:r>
      <w:r>
        <w:rPr>
          <w:rFonts w:ascii="Times New Roman" w:eastAsia="Times New Roman" w:hAnsi="Times New Roman" w:cs="Times New Roman"/>
          <w:lang w:val="en-US" w:eastAsia="it-IT"/>
        </w:rPr>
        <w:t>ights are mixed with innovative concepts on the natural-cultural interface (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Döring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Zunino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, 2014) and with originally pre-Hispanic and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synchretic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views on the landscape and human positioning in it. This way of linking nature, cosmology and politics sets</w:t>
      </w:r>
      <w:r>
        <w:rPr>
          <w:rFonts w:ascii="Times New Roman" w:eastAsia="Times New Roman" w:hAnsi="Times New Roman" w:cs="Times New Roman"/>
          <w:lang w:val="en-US" w:eastAsia="it-IT"/>
        </w:rPr>
        <w:t xml:space="preserve"> an interesting example of how global attitudes towards the environment and human actions can be transformed by the joint struggle of a community that can at the same time retain its own history but also </w:t>
      </w:r>
      <w:proofErr w:type="gramStart"/>
      <w:r>
        <w:rPr>
          <w:rFonts w:ascii="Times New Roman" w:eastAsia="Times New Roman" w:hAnsi="Times New Roman" w:cs="Times New Roman"/>
          <w:lang w:val="en-US" w:eastAsia="it-IT"/>
        </w:rPr>
        <w:t>be</w:t>
      </w:r>
      <w:proofErr w:type="gramEnd"/>
      <w:r>
        <w:rPr>
          <w:rFonts w:ascii="Times New Roman" w:eastAsia="Times New Roman" w:hAnsi="Times New Roman" w:cs="Times New Roman"/>
          <w:lang w:val="en-US" w:eastAsia="it-IT"/>
        </w:rPr>
        <w:t xml:space="preserve"> an active part of the present.</w:t>
      </w:r>
    </w:p>
    <w:p w:rsidR="00373DC1" w:rsidRDefault="00B432D2">
      <w:pPr>
        <w:pStyle w:val="Standard"/>
        <w:jc w:val="both"/>
      </w:pPr>
      <w:r>
        <w:rPr>
          <w:rFonts w:ascii="Times New Roman" w:eastAsia="Times New Roman" w:hAnsi="Times New Roman" w:cs="Times New Roman"/>
          <w:lang w:val="en-US" w:eastAsia="it-IT"/>
        </w:rPr>
        <w:t xml:space="preserve">   For what speci</w:t>
      </w:r>
      <w:r>
        <w:rPr>
          <w:rFonts w:ascii="Times New Roman" w:eastAsia="Times New Roman" w:hAnsi="Times New Roman" w:cs="Times New Roman"/>
          <w:lang w:val="en-US" w:eastAsia="it-IT"/>
        </w:rPr>
        <w:t>fically concerns the social-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environmemtal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issues involved, it must be underlined how in the Latin American megacities the massive rural and indigenous migration is creating new cross-</w:t>
      </w:r>
      <w:r>
        <w:rPr>
          <w:rFonts w:ascii="Times New Roman" w:hAnsi="Times New Roman" w:cs="Times New Roman"/>
          <w:lang w:val="en-US"/>
        </w:rPr>
        <w:t>dimensional interrelations between the traditionally rural and the new ur</w:t>
      </w:r>
      <w:r>
        <w:rPr>
          <w:rFonts w:ascii="Times New Roman" w:hAnsi="Times New Roman" w:cs="Times New Roman"/>
          <w:lang w:val="en-US"/>
        </w:rPr>
        <w:t>ban identities, as concerns both people and spaces (</w:t>
      </w:r>
      <w:proofErr w:type="spellStart"/>
      <w:r>
        <w:rPr>
          <w:rFonts w:ascii="Times New Roman" w:hAnsi="Times New Roman" w:cs="Times New Roman"/>
          <w:lang w:val="en-US"/>
        </w:rPr>
        <w:t>Canabal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Cristiani</w:t>
      </w:r>
      <w:proofErr w:type="spellEnd"/>
      <w:r>
        <w:rPr>
          <w:rFonts w:ascii="Times New Roman" w:hAnsi="Times New Roman" w:cs="Times New Roman"/>
          <w:lang w:val="en-US"/>
        </w:rPr>
        <w:t>, 2005: 161). Thus, an integrated social-environmental interface is generated and often the existing demands regarding social, gender and ecological rights are being creatively linked wit</w:t>
      </w:r>
      <w:r>
        <w:rPr>
          <w:rFonts w:ascii="Times New Roman" w:hAnsi="Times New Roman" w:cs="Times New Roman"/>
          <w:lang w:val="en-US"/>
        </w:rPr>
        <w:t xml:space="preserve">h inventive </w:t>
      </w:r>
      <w:proofErr w:type="spellStart"/>
      <w:r>
        <w:rPr>
          <w:rFonts w:ascii="Times New Roman" w:hAnsi="Times New Roman" w:cs="Times New Roman"/>
          <w:lang w:val="en-US"/>
        </w:rPr>
        <w:t>translocal</w:t>
      </w:r>
      <w:proofErr w:type="spellEnd"/>
      <w:r>
        <w:rPr>
          <w:rFonts w:ascii="Times New Roman" w:hAnsi="Times New Roman" w:cs="Times New Roman"/>
          <w:lang w:val="en-US"/>
        </w:rPr>
        <w:t xml:space="preserve"> natural-cultural stances. In these hybrid spaces, social actors are forming intergroup, </w:t>
      </w:r>
      <w:proofErr w:type="spellStart"/>
      <w:r>
        <w:rPr>
          <w:rFonts w:ascii="Times New Roman" w:hAnsi="Times New Roman" w:cs="Times New Roman"/>
          <w:lang w:val="en-US"/>
        </w:rPr>
        <w:t>transterritorial</w:t>
      </w:r>
      <w:proofErr w:type="spellEnd"/>
      <w:r>
        <w:rPr>
          <w:rFonts w:ascii="Times New Roman" w:hAnsi="Times New Roman" w:cs="Times New Roman"/>
          <w:lang w:val="en-US"/>
        </w:rPr>
        <w:t xml:space="preserve"> solidarity and land and status maintenance movements. In fact, the inequality and marginalization of the megalopolis-countryside</w:t>
      </w:r>
      <w:r>
        <w:rPr>
          <w:rFonts w:ascii="Times New Roman" w:hAnsi="Times New Roman" w:cs="Times New Roman"/>
          <w:lang w:val="en-US"/>
        </w:rPr>
        <w:t xml:space="preserve"> frontier can also contain a constructive landscape of agricultural-herbalist sustainable knowledge and practices, social-economic exchanges and cultural visibility. This dynamic “symbiotic interaction context” (Ávila Sánchez, 2005:20), simultaneously orig</w:t>
      </w:r>
      <w:r>
        <w:rPr>
          <w:rFonts w:ascii="Times New Roman" w:hAnsi="Times New Roman" w:cs="Times New Roman"/>
          <w:lang w:val="en-US"/>
        </w:rPr>
        <w:t>inal, urbanized and migrant, is also found in the Valley of Mexico’s great metropolitan area.</w:t>
      </w:r>
    </w:p>
    <w:p w:rsidR="00373DC1" w:rsidRDefault="00B432D2">
      <w:pPr>
        <w:pStyle w:val="Standard"/>
        <w:jc w:val="both"/>
      </w:pPr>
      <w:r>
        <w:rPr>
          <w:rFonts w:ascii="Times New Roman" w:hAnsi="Times New Roman" w:cs="Times New Roman"/>
          <w:lang w:val="en-US"/>
        </w:rPr>
        <w:t xml:space="preserve">   It is in this fluid natural-cultural and rural-urban interface that the predominantly </w:t>
      </w:r>
      <w:proofErr w:type="spellStart"/>
      <w:r>
        <w:rPr>
          <w:rFonts w:ascii="Times New Roman" w:hAnsi="Times New Roman" w:cs="Times New Roman"/>
          <w:lang w:val="en-US"/>
        </w:rPr>
        <w:t>Mazahuan</w:t>
      </w:r>
      <w:proofErr w:type="spellEnd"/>
      <w:r>
        <w:rPr>
          <w:rFonts w:ascii="Times New Roman" w:hAnsi="Times New Roman" w:cs="Times New Roman"/>
          <w:lang w:val="en-US"/>
        </w:rPr>
        <w:t xml:space="preserve"> communities, and particularly their women, have organized this </w:t>
      </w:r>
      <w:r>
        <w:rPr>
          <w:rFonts w:ascii="Times New Roman" w:hAnsi="Times New Roman" w:cs="Times New Roman"/>
          <w:lang w:val="en-US"/>
        </w:rPr>
        <w:t xml:space="preserve">multi-faceted social-environmental movement linking one of the most fundamental social-environmental rights, drinking water access, </w:t>
      </w:r>
      <w:r>
        <w:rPr>
          <w:rFonts w:ascii="Times New Roman" w:hAnsi="Times New Roman" w:cs="Times New Roman"/>
          <w:lang w:val="en-US"/>
        </w:rPr>
        <w:lastRenderedPageBreak/>
        <w:t>to human, women’s and indigenous rights (Gómez Fuentes 2009) and to ecosystem conservation. Contemporarily fighting for just</w:t>
      </w:r>
      <w:r>
        <w:rPr>
          <w:rFonts w:ascii="Times New Roman" w:hAnsi="Times New Roman" w:cs="Times New Roman"/>
          <w:lang w:val="en-US"/>
        </w:rPr>
        <w:t xml:space="preserve">ice, reclaiming socially-ecologically sustainable land use and acting as mediators with the state’s institutions to change its social policy,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Frente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Mujeres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en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Defensa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val="en-US" w:eastAsia="it-IT"/>
        </w:rPr>
        <w:t>del</w:t>
      </w:r>
      <w:proofErr w:type="gramEnd"/>
      <w:r>
        <w:rPr>
          <w:rFonts w:ascii="Times New Roman" w:eastAsia="Times New Roman" w:hAnsi="Times New Roman" w:cs="Times New Roman"/>
          <w:lang w:val="en-US" w:eastAsia="it-IT"/>
        </w:rPr>
        <w:t xml:space="preserve"> Agua had a first, brief victory in 2004. After taking over the water </w:t>
      </w:r>
      <w:r>
        <w:rPr>
          <w:rFonts w:ascii="Times New Roman" w:eastAsia="Times New Roman" w:hAnsi="Times New Roman" w:cs="Times New Roman"/>
          <w:lang w:val="en-US" w:eastAsia="it-IT"/>
        </w:rPr>
        <w:t xml:space="preserve">system that distributes drinkable water to the capital, a ground-breaking agreement was signed between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Secretaría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Gobernación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>, the National Commission for Water (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Conagua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) and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Mazahuan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community. Nevertheless, the agreement has not been implement</w:t>
      </w:r>
      <w:r>
        <w:rPr>
          <w:rFonts w:ascii="Times New Roman" w:eastAsia="Times New Roman" w:hAnsi="Times New Roman" w:cs="Times New Roman"/>
          <w:lang w:val="en-US" w:eastAsia="it-IT"/>
        </w:rPr>
        <w:t xml:space="preserve">ed, and the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Frente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is resourcefully continuing to act, pushing for a genuine change in institutional attitude and policy. Indigenous-farmer women movements are once more (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Aranda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Bezaury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1997) proving to be one of the main social, political and economic dyn</w:t>
      </w:r>
      <w:r>
        <w:rPr>
          <w:rFonts w:ascii="Times New Roman" w:eastAsia="Times New Roman" w:hAnsi="Times New Roman" w:cs="Times New Roman"/>
          <w:lang w:val="en-US" w:eastAsia="it-IT"/>
        </w:rPr>
        <w:t>amics of influence in Latin American and global social-environmental policy.</w:t>
      </w:r>
    </w:p>
    <w:p w:rsidR="00373DC1" w:rsidRDefault="00373DC1">
      <w:pPr>
        <w:pStyle w:val="Standard"/>
        <w:jc w:val="both"/>
      </w:pPr>
    </w:p>
    <w:p w:rsidR="00373DC1" w:rsidRDefault="00B432D2">
      <w:pPr>
        <w:pStyle w:val="Standard"/>
        <w:jc w:val="both"/>
      </w:pPr>
      <w:r>
        <w:rPr>
          <w:rFonts w:ascii="Times New Roman" w:eastAsia="Times New Roman" w:hAnsi="Times New Roman" w:cs="Times New Roman"/>
          <w:lang w:val="en-US" w:eastAsia="it-IT"/>
        </w:rPr>
        <w:t>References</w:t>
      </w:r>
    </w:p>
    <w:p w:rsidR="00373DC1" w:rsidRDefault="00373DC1">
      <w:pPr>
        <w:pStyle w:val="Standard"/>
        <w:jc w:val="both"/>
      </w:pPr>
    </w:p>
    <w:p w:rsidR="00373DC1" w:rsidRDefault="00B432D2">
      <w:pPr>
        <w:pStyle w:val="Standard"/>
        <w:jc w:val="both"/>
      </w:pP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Aranda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US" w:eastAsia="it-IT"/>
        </w:rPr>
        <w:t>Bezaury</w:t>
      </w:r>
      <w:proofErr w:type="spellEnd"/>
      <w:r>
        <w:rPr>
          <w:rFonts w:ascii="Times New Roman" w:eastAsia="Times New Roman" w:hAnsi="Times New Roman" w:cs="Times New Roman"/>
          <w:lang w:val="en-US" w:eastAsia="it-IT"/>
        </w:rPr>
        <w:t xml:space="preserve">, J. (1997).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lang w:val="en-US" w:eastAsia="it-IT"/>
        </w:rPr>
        <w:t>Políticas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públicas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y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mujeres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campesinas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lang w:val="en-US" w:eastAsia="it-IT"/>
        </w:rPr>
        <w:t>en</w:t>
      </w:r>
      <w:proofErr w:type="spellEnd"/>
      <w:r>
        <w:rPr>
          <w:rFonts w:ascii="Times New Roman" w:eastAsia="Times New Roman" w:hAnsi="Times New Roman" w:cs="Times New Roman"/>
          <w:i/>
          <w:lang w:val="en-US" w:eastAsia="it-IT"/>
        </w:rPr>
        <w:t xml:space="preserve"> México</w:t>
      </w:r>
      <w:r>
        <w:rPr>
          <w:rFonts w:ascii="Times New Roman" w:eastAsia="Times New Roman" w:hAnsi="Times New Roman" w:cs="Times New Roman"/>
          <w:lang w:val="en-US" w:eastAsia="it-IT"/>
        </w:rPr>
        <w:t>.</w:t>
      </w:r>
      <w:proofErr w:type="gramEnd"/>
      <w:r>
        <w:rPr>
          <w:rFonts w:ascii="Times New Roman" w:eastAsia="Times New Roman" w:hAnsi="Times New Roman" w:cs="Times New Roman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>In González Montes, S. (ed.). Mujeres y relaciones de género en la antropología latinoam</w:t>
      </w:r>
      <w:r>
        <w:rPr>
          <w:rFonts w:ascii="Times New Roman" w:eastAsia="Times New Roman" w:hAnsi="Times New Roman" w:cs="Times New Roman"/>
          <w:lang w:eastAsia="it-IT"/>
        </w:rPr>
        <w:t>ericana, pp. 171-222. México: El Colegio de México.</w:t>
      </w:r>
    </w:p>
    <w:p w:rsidR="00373DC1" w:rsidRDefault="00373DC1">
      <w:pPr>
        <w:pStyle w:val="Standard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373DC1" w:rsidRDefault="00B432D2">
      <w:pPr>
        <w:pStyle w:val="Standard"/>
        <w:jc w:val="both"/>
      </w:pPr>
      <w:r>
        <w:rPr>
          <w:rFonts w:ascii="Times New Roman" w:hAnsi="Times New Roman" w:cs="Times New Roman"/>
        </w:rPr>
        <w:t xml:space="preserve">Ávila Sánchez, H. (ed.). </w:t>
      </w:r>
      <w:r>
        <w:rPr>
          <w:rFonts w:ascii="Times New Roman" w:hAnsi="Times New Roman" w:cs="Times New Roman"/>
          <w:i/>
        </w:rPr>
        <w:t>Lo urbano-rural, ¿nuevas expresiones territoriales?</w:t>
      </w:r>
      <w:r>
        <w:rPr>
          <w:rFonts w:ascii="Times New Roman" w:hAnsi="Times New Roman" w:cs="Times New Roman"/>
        </w:rPr>
        <w:t xml:space="preserve"> Cuernavaca, Mexico: UNAM</w:t>
      </w:r>
    </w:p>
    <w:p w:rsidR="00373DC1" w:rsidRDefault="00373DC1">
      <w:pPr>
        <w:pStyle w:val="Standard"/>
        <w:jc w:val="both"/>
        <w:rPr>
          <w:rFonts w:ascii="Times New Roman" w:hAnsi="Times New Roman" w:cs="Times New Roman"/>
          <w:sz w:val="16"/>
          <w:szCs w:val="16"/>
        </w:rPr>
      </w:pPr>
    </w:p>
    <w:p w:rsidR="00373DC1" w:rsidRDefault="00B432D2">
      <w:pPr>
        <w:pStyle w:val="Standard"/>
        <w:jc w:val="both"/>
      </w:pPr>
      <w:r>
        <w:rPr>
          <w:rFonts w:ascii="Times New Roman" w:hAnsi="Times New Roman" w:cs="Times New Roman"/>
        </w:rPr>
        <w:t xml:space="preserve">Canabal Cristiani, B. (2005). </w:t>
      </w:r>
      <w:r>
        <w:rPr>
          <w:rFonts w:ascii="Times New Roman" w:hAnsi="Times New Roman" w:cs="Times New Roman"/>
          <w:i/>
        </w:rPr>
        <w:t>Actores rural-urbanos: Proyectos e identidades</w:t>
      </w:r>
      <w:r>
        <w:rPr>
          <w:rFonts w:ascii="Times New Roman" w:hAnsi="Times New Roman" w:cs="Times New Roman"/>
        </w:rPr>
        <w:t xml:space="preserve">. In Ávila Sánchez, H. </w:t>
      </w:r>
      <w:r>
        <w:rPr>
          <w:rFonts w:ascii="Times New Roman" w:hAnsi="Times New Roman" w:cs="Times New Roman"/>
        </w:rPr>
        <w:t xml:space="preserve">(ed.). Lo urbano-rural, ¿nuevas expresiones territoriales?, pp. 161-178. </w:t>
      </w:r>
      <w:r>
        <w:rPr>
          <w:rFonts w:ascii="Times New Roman" w:hAnsi="Times New Roman" w:cs="Times New Roman"/>
          <w:lang w:val="en-US"/>
        </w:rPr>
        <w:t>Cuernavaca, Mexico: UNAM.</w:t>
      </w:r>
    </w:p>
    <w:p w:rsidR="00373DC1" w:rsidRDefault="00373DC1">
      <w:pPr>
        <w:pStyle w:val="Standard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373DC1" w:rsidRDefault="00B432D2">
      <w:pPr>
        <w:pStyle w:val="Standard"/>
        <w:jc w:val="both"/>
      </w:pPr>
      <w:proofErr w:type="spellStart"/>
      <w:r>
        <w:rPr>
          <w:rFonts w:ascii="Times New Roman" w:hAnsi="Times New Roman" w:cs="Times New Roman"/>
          <w:iCs/>
          <w:lang w:val="en-GB"/>
        </w:rPr>
        <w:t>Döring</w:t>
      </w:r>
      <w:proofErr w:type="spellEnd"/>
      <w:r>
        <w:rPr>
          <w:rFonts w:ascii="Times New Roman" w:hAnsi="Times New Roman" w:cs="Times New Roman"/>
          <w:iCs/>
          <w:lang w:val="en-GB"/>
        </w:rPr>
        <w:t xml:space="preserve">, M. </w:t>
      </w:r>
      <w:proofErr w:type="gramStart"/>
      <w:r>
        <w:rPr>
          <w:rFonts w:ascii="Times New Roman" w:hAnsi="Times New Roman" w:cs="Times New Roman"/>
          <w:iCs/>
          <w:lang w:val="en-GB"/>
        </w:rPr>
        <w:t>&amp;</w:t>
      </w:r>
      <w:r>
        <w:rPr>
          <w:rFonts w:ascii="Times New Roman" w:hAnsi="Times New Roman" w:cs="Times New Roman"/>
          <w:iCs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iCs/>
          <w:lang w:val="en-GB"/>
        </w:rPr>
        <w:t>Zunino</w:t>
      </w:r>
      <w:proofErr w:type="spellEnd"/>
      <w:proofErr w:type="gramEnd"/>
      <w:r>
        <w:rPr>
          <w:rFonts w:ascii="Times New Roman" w:hAnsi="Times New Roman" w:cs="Times New Roman"/>
          <w:iCs/>
          <w:lang w:val="en-GB"/>
        </w:rPr>
        <w:t>, F. (2014).</w:t>
      </w:r>
      <w:r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GB"/>
        </w:rPr>
        <w:t>NatureCultures</w:t>
      </w:r>
      <w:proofErr w:type="spellEnd"/>
      <w:r>
        <w:rPr>
          <w:rFonts w:ascii="Times New Roman" w:hAnsi="Times New Roman" w:cs="Times New Roman"/>
          <w:lang w:val="en-GB"/>
        </w:rPr>
        <w:t xml:space="preserve"> in old and new worlds.</w:t>
      </w:r>
      <w:proofErr w:type="gramEnd"/>
      <w:r>
        <w:rPr>
          <w:rFonts w:ascii="Times New Roman" w:hAnsi="Times New Roman" w:cs="Times New Roman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iCs/>
          <w:lang w:val="en-GB"/>
        </w:rPr>
        <w:t xml:space="preserve">Steps towards a diachronic </w:t>
      </w:r>
      <w:proofErr w:type="spellStart"/>
      <w:r>
        <w:rPr>
          <w:rFonts w:ascii="Times New Roman" w:hAnsi="Times New Roman" w:cs="Times New Roman"/>
          <w:iCs/>
          <w:lang w:val="en-GB"/>
        </w:rPr>
        <w:t>ecolinguistic</w:t>
      </w:r>
      <w:proofErr w:type="spellEnd"/>
      <w:r>
        <w:rPr>
          <w:rFonts w:ascii="Times New Roman" w:hAnsi="Times New Roman" w:cs="Times New Roman"/>
          <w:iCs/>
          <w:lang w:val="en-GB"/>
        </w:rPr>
        <w:t xml:space="preserve"> perspective on framing a ‘new’ continent</w:t>
      </w:r>
      <w:r>
        <w:rPr>
          <w:rFonts w:ascii="Times New Roman" w:hAnsi="Times New Roman" w:cs="Times New Roman"/>
          <w:lang w:val="en-GB"/>
        </w:rPr>
        <w:t>.</w:t>
      </w:r>
      <w:proofErr w:type="gramEnd"/>
      <w:r>
        <w:rPr>
          <w:rFonts w:ascii="Times New Roman" w:hAnsi="Times New Roman" w:cs="Times New Roman"/>
          <w:lang w:val="en-GB"/>
        </w:rPr>
        <w:t xml:space="preserve"> In S. V. </w:t>
      </w:r>
      <w:proofErr w:type="spellStart"/>
      <w:r>
        <w:rPr>
          <w:rFonts w:ascii="Times New Roman" w:hAnsi="Times New Roman" w:cs="Times New Roman"/>
          <w:lang w:val="en-GB"/>
        </w:rPr>
        <w:t>Steffensen</w:t>
      </w:r>
      <w:proofErr w:type="spellEnd"/>
      <w:r>
        <w:rPr>
          <w:rFonts w:ascii="Times New Roman" w:hAnsi="Times New Roman" w:cs="Times New Roman"/>
          <w:lang w:val="en-GB"/>
        </w:rPr>
        <w:t xml:space="preserve"> &amp; A. Fill (</w:t>
      </w:r>
      <w:proofErr w:type="gramStart"/>
      <w:r>
        <w:rPr>
          <w:rFonts w:ascii="Times New Roman" w:hAnsi="Times New Roman" w:cs="Times New Roman"/>
          <w:lang w:val="en-GB"/>
        </w:rPr>
        <w:t>eds</w:t>
      </w:r>
      <w:proofErr w:type="gramEnd"/>
      <w:r>
        <w:rPr>
          <w:rFonts w:ascii="Times New Roman" w:hAnsi="Times New Roman" w:cs="Times New Roman"/>
          <w:lang w:val="en-GB"/>
        </w:rPr>
        <w:t xml:space="preserve">.). </w:t>
      </w:r>
      <w:proofErr w:type="spellStart"/>
      <w:r>
        <w:rPr>
          <w:rFonts w:ascii="Times New Roman" w:hAnsi="Times New Roman" w:cs="Times New Roman"/>
          <w:bCs/>
          <w:i/>
          <w:lang w:val="en-GB"/>
        </w:rPr>
        <w:t>Ecolinguistics</w:t>
      </w:r>
      <w:proofErr w:type="spellEnd"/>
      <w:r>
        <w:rPr>
          <w:rFonts w:ascii="Times New Roman" w:hAnsi="Times New Roman" w:cs="Times New Roman"/>
          <w:bCs/>
          <w:i/>
          <w:lang w:val="en-GB"/>
        </w:rPr>
        <w:t>: The ecology of language and science</w:t>
      </w:r>
      <w:r>
        <w:rPr>
          <w:rFonts w:ascii="Times New Roman" w:hAnsi="Times New Roman" w:cs="Times New Roman"/>
          <w:bCs/>
          <w:lang w:val="en-GB"/>
        </w:rPr>
        <w:t xml:space="preserve">. </w:t>
      </w:r>
      <w:r>
        <w:rPr>
          <w:rFonts w:ascii="Times New Roman" w:hAnsi="Times New Roman" w:cs="Times New Roman"/>
          <w:i/>
          <w:iCs/>
          <w:lang w:val="en-GB"/>
        </w:rPr>
        <w:t>Language Sciences, Spec</w:t>
      </w:r>
      <w:r>
        <w:rPr>
          <w:rFonts w:ascii="Times New Roman" w:hAnsi="Times New Roman" w:cs="Times New Roman"/>
          <w:i/>
          <w:iCs/>
          <w:lang w:val="en-GB"/>
        </w:rPr>
        <w:t xml:space="preserve">ial Issue on </w:t>
      </w:r>
      <w:proofErr w:type="spellStart"/>
      <w:r>
        <w:rPr>
          <w:rFonts w:ascii="Times New Roman" w:hAnsi="Times New Roman" w:cs="Times New Roman"/>
          <w:i/>
          <w:iCs/>
          <w:lang w:val="en-GB"/>
        </w:rPr>
        <w:t>Ecolinguistics</w:t>
      </w:r>
      <w:proofErr w:type="spellEnd"/>
      <w:r>
        <w:rPr>
          <w:rFonts w:ascii="Times New Roman" w:hAnsi="Times New Roman" w:cs="Times New Roman"/>
          <w:iCs/>
          <w:lang w:val="en-GB"/>
        </w:rPr>
        <w:t>. 41(A): 34-40.</w:t>
      </w:r>
    </w:p>
    <w:p w:rsidR="00373DC1" w:rsidRDefault="00373DC1">
      <w:pPr>
        <w:pStyle w:val="Standard"/>
        <w:jc w:val="both"/>
      </w:pPr>
    </w:p>
    <w:p w:rsidR="00373DC1" w:rsidRDefault="00B432D2">
      <w:pPr>
        <w:pStyle w:val="Standard"/>
        <w:jc w:val="both"/>
      </w:pPr>
      <w:proofErr w:type="gramStart"/>
      <w:r>
        <w:rPr>
          <w:rFonts w:ascii="Times New Roman" w:hAnsi="Times New Roman" w:cs="Times New Roman"/>
          <w:iCs/>
          <w:lang w:val="en-US"/>
        </w:rPr>
        <w:t>Gómez Fuentes, A.</w:t>
      </w:r>
      <w:proofErr w:type="gramEnd"/>
      <w:r>
        <w:rPr>
          <w:rFonts w:ascii="Times New Roman" w:hAnsi="Times New Roman" w:cs="Times New Roman"/>
          <w:iCs/>
          <w:lang w:val="en-US"/>
        </w:rPr>
        <w:t xml:space="preserve">  (2009). </w:t>
      </w:r>
      <w:proofErr w:type="gramStart"/>
      <w:r>
        <w:rPr>
          <w:rFonts w:ascii="Times New Roman" w:hAnsi="Times New Roman" w:cs="Times New Roman"/>
          <w:iCs/>
          <w:lang w:val="en-US"/>
        </w:rPr>
        <w:t>Un</w:t>
      </w:r>
      <w:proofErr w:type="gram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Cs/>
          <w:lang w:val="en-US"/>
        </w:rPr>
        <w:t>ejército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Cs/>
          <w:lang w:val="en-US"/>
        </w:rPr>
        <w:t>mujeres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iCs/>
          <w:lang w:val="en-US"/>
        </w:rPr>
        <w:t xml:space="preserve">Un  </w:t>
      </w:r>
      <w:proofErr w:type="spellStart"/>
      <w:r>
        <w:rPr>
          <w:rFonts w:ascii="Times New Roman" w:hAnsi="Times New Roman" w:cs="Times New Roman"/>
          <w:iCs/>
          <w:lang w:val="en-US"/>
        </w:rPr>
        <w:t>ejército</w:t>
      </w:r>
      <w:proofErr w:type="spellEnd"/>
      <w:proofErr w:type="gram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Cs/>
          <w:lang w:val="en-US"/>
        </w:rPr>
        <w:t>por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el </w:t>
      </w:r>
      <w:proofErr w:type="spellStart"/>
      <w:r>
        <w:rPr>
          <w:rFonts w:ascii="Times New Roman" w:hAnsi="Times New Roman" w:cs="Times New Roman"/>
          <w:iCs/>
          <w:lang w:val="en-US"/>
        </w:rPr>
        <w:t>agua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iCs/>
          <w:lang w:val="en-US"/>
        </w:rPr>
        <w:t xml:space="preserve">Las </w:t>
      </w:r>
      <w:proofErr w:type="spellStart"/>
      <w:r>
        <w:rPr>
          <w:rFonts w:ascii="Times New Roman" w:hAnsi="Times New Roman" w:cs="Times New Roman"/>
          <w:iCs/>
          <w:lang w:val="en-US"/>
        </w:rPr>
        <w:t>mujeres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Cs/>
          <w:lang w:val="en-US"/>
        </w:rPr>
        <w:t>indígenas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Cs/>
          <w:lang w:val="en-US"/>
        </w:rPr>
        <w:t>Mazahuas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Cs/>
          <w:lang w:val="en-US"/>
        </w:rPr>
        <w:t>en</w:t>
      </w:r>
      <w:proofErr w:type="spellEnd"/>
      <w:r>
        <w:rPr>
          <w:rFonts w:ascii="Times New Roman" w:hAnsi="Times New Roman" w:cs="Times New Roman"/>
          <w:iCs/>
          <w:lang w:val="en-US"/>
        </w:rPr>
        <w:t xml:space="preserve"> México.</w:t>
      </w:r>
      <w:proofErr w:type="gramEnd"/>
      <w:r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lang w:val="en-US"/>
        </w:rPr>
        <w:t>Agricultura</w:t>
      </w:r>
      <w:proofErr w:type="spellEnd"/>
      <w:r>
        <w:rPr>
          <w:rFonts w:ascii="Times New Roman" w:hAnsi="Times New Roman" w:cs="Times New Roman"/>
          <w:i/>
          <w:iCs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lang w:val="en-US"/>
        </w:rPr>
        <w:t>Sociedad</w:t>
      </w:r>
      <w:proofErr w:type="spellEnd"/>
      <w:r>
        <w:rPr>
          <w:rFonts w:ascii="Times New Roman" w:hAnsi="Times New Roman" w:cs="Times New Roman"/>
          <w:i/>
          <w:iCs/>
          <w:lang w:val="en-US"/>
        </w:rPr>
        <w:t xml:space="preserve"> y </w:t>
      </w:r>
      <w:proofErr w:type="spellStart"/>
      <w:r>
        <w:rPr>
          <w:rFonts w:ascii="Times New Roman" w:hAnsi="Times New Roman" w:cs="Times New Roman"/>
          <w:i/>
          <w:iCs/>
          <w:lang w:val="en-US"/>
        </w:rPr>
        <w:t>Desarrollo</w:t>
      </w:r>
      <w:proofErr w:type="spellEnd"/>
      <w:r>
        <w:rPr>
          <w:rFonts w:ascii="Times New Roman" w:hAnsi="Times New Roman" w:cs="Times New Roman"/>
          <w:iCs/>
          <w:lang w:val="en-US"/>
        </w:rPr>
        <w:t>, 6(3):207-221. Online edition,</w:t>
      </w:r>
    </w:p>
    <w:p w:rsidR="00373DC1" w:rsidRDefault="00B432D2">
      <w:pPr>
        <w:pStyle w:val="Standard"/>
        <w:jc w:val="both"/>
      </w:pPr>
      <w:r>
        <w:rPr>
          <w:rFonts w:ascii="Times New Roman" w:hAnsi="Times New Roman" w:cs="Times New Roman"/>
          <w:iCs/>
          <w:lang w:val="en-US"/>
        </w:rPr>
        <w:t>http://www.colpos.mx/asyd/</w:t>
      </w:r>
      <w:r>
        <w:rPr>
          <w:rFonts w:ascii="Times New Roman" w:hAnsi="Times New Roman" w:cs="Times New Roman"/>
          <w:iCs/>
          <w:lang w:val="en-US"/>
        </w:rPr>
        <w:t>volumen6/numero3/asd-09-012.pdf.</w:t>
      </w:r>
    </w:p>
    <w:p w:rsidR="00373DC1" w:rsidRDefault="00373DC1">
      <w:pPr>
        <w:pStyle w:val="Standard"/>
        <w:jc w:val="both"/>
      </w:pPr>
    </w:p>
    <w:p w:rsidR="00373DC1" w:rsidRDefault="00B432D2">
      <w:pPr>
        <w:pStyle w:val="Standard"/>
        <w:jc w:val="both"/>
      </w:pPr>
      <w:proofErr w:type="spellStart"/>
      <w:proofErr w:type="gramStart"/>
      <w:r>
        <w:rPr>
          <w:rFonts w:ascii="Times New Roman" w:hAnsi="Times New Roman" w:cs="Times New Roman"/>
          <w:iCs/>
          <w:lang w:val="en-GB"/>
        </w:rPr>
        <w:t>Molyneaux</w:t>
      </w:r>
      <w:proofErr w:type="spellEnd"/>
      <w:r>
        <w:rPr>
          <w:rFonts w:ascii="Times New Roman" w:hAnsi="Times New Roman" w:cs="Times New Roman"/>
          <w:iCs/>
          <w:lang w:val="en-GB"/>
        </w:rPr>
        <w:t>, M. (2001).</w:t>
      </w:r>
      <w:proofErr w:type="gramEnd"/>
      <w:r>
        <w:rPr>
          <w:rFonts w:ascii="Times New Roman" w:hAnsi="Times New Roman" w:cs="Times New Roman"/>
          <w:iCs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lang w:val="en-GB"/>
        </w:rPr>
        <w:t>Women’s Movements in International Perspective.</w:t>
      </w:r>
      <w:proofErr w:type="gramEnd"/>
      <w:r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lang w:val="en-GB"/>
        </w:rPr>
        <w:t>Latin America and Beyond</w:t>
      </w:r>
      <w:r>
        <w:rPr>
          <w:rFonts w:ascii="Times New Roman" w:hAnsi="Times New Roman" w:cs="Times New Roman"/>
          <w:iCs/>
          <w:lang w:val="en-GB"/>
        </w:rPr>
        <w:t>.</w:t>
      </w:r>
      <w:proofErr w:type="gramEnd"/>
      <w:r>
        <w:rPr>
          <w:rFonts w:ascii="Times New Roman" w:hAnsi="Times New Roman" w:cs="Times New Roman"/>
          <w:iCs/>
          <w:lang w:val="en-GB"/>
        </w:rPr>
        <w:t xml:space="preserve"> New York: Palgrave, Institute of Latin American Studies Series.</w:t>
      </w:r>
    </w:p>
    <w:p w:rsidR="00373DC1" w:rsidRDefault="00373DC1">
      <w:pPr>
        <w:pStyle w:val="Standard"/>
        <w:jc w:val="both"/>
      </w:pPr>
    </w:p>
    <w:sectPr w:rsidR="00373DC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32D2">
      <w:pPr>
        <w:spacing w:after="0" w:line="240" w:lineRule="auto"/>
      </w:pPr>
      <w:r>
        <w:separator/>
      </w:r>
    </w:p>
  </w:endnote>
  <w:endnote w:type="continuationSeparator" w:id="0">
    <w:p w:rsidR="00000000" w:rsidRDefault="00B4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32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B43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73DC1"/>
    <w:rsid w:val="00373DC1"/>
    <w:rsid w:val="00B4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Paragraph">
    <w:name w:val="List Paragraph"/>
    <w:basedOn w:val="Standard"/>
    <w:pPr>
      <w:ind w:left="720"/>
    </w:pPr>
  </w:style>
  <w:style w:type="paragraph" w:styleId="HTMLPreformatted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reformattatoHTMLCarattere">
    <w:name w:val="Preformattato HTML Carattere"/>
    <w:basedOn w:val="DefaultParagraphFont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Paragraph">
    <w:name w:val="List Paragraph"/>
    <w:basedOn w:val="Standard"/>
    <w:pPr>
      <w:ind w:left="720"/>
    </w:pPr>
  </w:style>
  <w:style w:type="paragraph" w:styleId="HTMLPreformatted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reformattatoHTMLCarattere">
    <w:name w:val="Preformattato HTML Carattere"/>
    <w:basedOn w:val="DefaultParagraphFont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F61D53A9</Template>
  <TotalTime>217</TotalTime>
  <Pages>2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Ricardo Velazquez Leyer</cp:lastModifiedBy>
  <cp:revision>1</cp:revision>
  <dcterms:created xsi:type="dcterms:W3CDTF">2014-10-14T15:06:00Z</dcterms:created>
  <dcterms:modified xsi:type="dcterms:W3CDTF">2014-11-03T11:19:00Z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